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400" w:after="240"/>
        <w:jc w:val="center"/>
      </w:pPr>
      <w:r>
        <w:rPr>
          <w:rFonts w:ascii="Calibri" w:hAnsi="Calibri"/>
          <w:b/>
          <w:i w:val="0"/>
          <w:color w:val="2B59D9"/>
          <w:sz w:val="24"/>
        </w:rPr>
        <w:t>ZAGOR SOLUTIONS</w:t>
      </w:r>
    </w:p>
    <w:p>
      <w:pPr>
        <w:spacing w:after="160"/>
        <w:jc w:val="center"/>
      </w:pPr>
      <w:r>
        <w:rPr>
          <w:rFonts w:ascii="Calibri" w:hAnsi="Calibri"/>
          <w:b/>
          <w:i w:val="0"/>
          <w:color w:val="132238"/>
          <w:sz w:val="56"/>
        </w:rPr>
        <w:t>Proposal Pack</w:t>
      </w:r>
    </w:p>
    <w:p>
      <w:pPr>
        <w:spacing w:after="560"/>
        <w:jc w:val="center"/>
      </w:pPr>
      <w:r>
        <w:rPr>
          <w:rFonts w:ascii="Calibri" w:hAnsi="Calibri"/>
          <w:b w:val="0"/>
          <w:i w:val="0"/>
          <w:color w:val="5A6470"/>
          <w:sz w:val="28"/>
        </w:rPr>
        <w:t>Grant-ready digital Packages for Erasmus+ applications</w:t>
      </w:r>
    </w:p>
    <w:p>
      <w:pPr>
        <w:spacing w:before="120" w:after="120"/>
        <w:ind w:left="173" w:right="173"/>
        <w:shd w:fill="EEF7D5"/>
      </w:pPr>
      <w:r>
        <w:rPr>
          <w:rFonts w:ascii="Calibri" w:hAnsi="Calibri"/>
          <w:b/>
          <w:i w:val="0"/>
          <w:color w:val="132238"/>
          <w:sz w:val="22"/>
        </w:rPr>
        <w:t>Copy and adapt this language freely. No attribution is required.</w:t>
      </w:r>
    </w:p>
    <w:p>
      <w:pPr>
        <w:spacing w:after="80"/>
        <w:jc w:val="center"/>
      </w:pPr>
      <w:r>
        <w:rPr>
          <w:rFonts w:ascii="Calibri" w:hAnsi="Calibri"/>
          <w:b/>
          <w:i w:val="0"/>
          <w:color w:val="132238"/>
          <w:sz w:val="20"/>
        </w:rPr>
        <w:t xml:space="preserve">Price version: </w:t>
      </w:r>
      <w:r>
        <w:rPr>
          <w:rFonts w:ascii="Calibri" w:hAnsi="Calibri"/>
          <w:b w:val="0"/>
          <w:i w:val="0"/>
          <w:color w:val="132238"/>
          <w:sz w:val="20"/>
        </w:rPr>
        <w:t>2026.2</w:t>
      </w:r>
    </w:p>
    <w:p>
      <w:pPr>
        <w:spacing w:after="80"/>
        <w:jc w:val="center"/>
      </w:pPr>
      <w:r>
        <w:rPr>
          <w:rFonts w:ascii="Calibri" w:hAnsi="Calibri"/>
          <w:b/>
          <w:i w:val="0"/>
          <w:color w:val="132238"/>
          <w:sz w:val="20"/>
        </w:rPr>
        <w:t xml:space="preserve">Currency: </w:t>
      </w:r>
      <w:r>
        <w:rPr>
          <w:rFonts w:ascii="Calibri" w:hAnsi="Calibri"/>
          <w:b w:val="0"/>
          <w:i w:val="0"/>
          <w:color w:val="132238"/>
          <w:sz w:val="20"/>
        </w:rPr>
        <w:t>EUR, excluding VAT where applicable</w:t>
      </w:r>
    </w:p>
    <w:p>
      <w:pPr>
        <w:spacing w:after="80"/>
        <w:jc w:val="center"/>
      </w:pPr>
      <w:r>
        <w:rPr>
          <w:rFonts w:ascii="Calibri" w:hAnsi="Calibri"/>
          <w:b/>
          <w:i w:val="0"/>
          <w:color w:val="132238"/>
          <w:sz w:val="20"/>
        </w:rPr>
        <w:t xml:space="preserve">Price validity: </w:t>
      </w:r>
      <w:r>
        <w:rPr>
          <w:rFonts w:ascii="Calibri" w:hAnsi="Calibri"/>
          <w:b w:val="0"/>
          <w:i w:val="0"/>
          <w:color w:val="132238"/>
          <w:sz w:val="20"/>
        </w:rPr>
        <w:t>18 months for the same proposed Project when generated through the Scoped Budget Line form</w:t>
      </w:r>
    </w:p>
    <w:p/>
    <w:p>
      <w:pPr>
        <w:jc w:val="center"/>
      </w:pPr>
      <w:r>
        <w:rPr>
          <w:rFonts w:ascii="Calibri" w:hAnsi="Calibri"/>
          <w:b w:val="0"/>
          <w:i/>
          <w:color w:val="5A6470"/>
          <w:sz w:val="19"/>
        </w:rPr>
        <w:t>Prepared for Coordinators planning subcontracted digital delivery before application submission</w:t>
      </w:r>
    </w:p>
    <w:p>
      <w:r>
        <w:br w:type="page"/>
      </w:r>
    </w:p>
    <w:p>
      <w:pPr>
        <w:pStyle w:val="Heading1"/>
      </w:pPr>
      <w:r>
        <w:t>How to use this pack</w:t>
      </w:r>
    </w:p>
    <w:p>
      <w:r>
        <w:t>Copy and adapt the language freely and without attribution. Replace bracketed Project details, select only the Package scope the Project genuinely needs, and use the Scoped Budget Line form to generate the deterministic provisional amount and five-year dates for the same proposed Project.</w:t>
      </w:r>
    </w:p>
    <w:p>
      <w:pPr>
        <w:pStyle w:val="ListNumber"/>
      </w:pPr>
      <w:r>
        <w:t>Choose each Package needed by the proposed Project.</w:t>
      </w:r>
    </w:p>
    <w:p>
      <w:pPr>
        <w:pStyle w:val="ListNumber"/>
      </w:pPr>
      <w:r>
        <w:t>Declare its published scope dimensions in the browser calculator.</w:t>
      </w:r>
    </w:p>
    <w:p>
      <w:pPr>
        <w:pStyle w:val="ListNumber"/>
      </w:pPr>
      <w:r>
        <w:t>Copy the generated amount, assumptions, availability window, and validity date into the application working draft.</w:t>
      </w:r>
    </w:p>
    <w:p>
      <w:pPr>
        <w:pStyle w:val="ListNumber"/>
      </w:pPr>
      <w:r>
        <w:t>After award, replace the planned Project start with the official Grant Agreement date.</w:t>
      </w:r>
    </w:p>
    <w:p>
      <w:pPr>
        <w:pStyle w:val="Heading1"/>
      </w:pPr>
      <w:r>
        <w:t>Published prices</w:t>
      </w:r>
    </w:p>
    <w:tbl>
      <w:tblPr>
        <w:tblW w:type="dxa" w:w="9360"/>
        <w:jc w:val="left"/>
        <w:tblLayout w:type="fixed"/>
        <w:tblLook w:firstColumn="1" w:firstRow="1" w:lastColumn="0" w:lastRow="0" w:noHBand="0" w:noVBand="1" w:val="04A0"/>
        <w:tblInd w:type="dxa" w:w="120"/>
      </w:tblPr>
      <w:tblGrid>
        <w:gridCol w:w="2100"/>
        <w:gridCol w:w="2100"/>
        <w:gridCol w:w="5160"/>
      </w:tblGrid>
      <w:tr>
        <w:trPr>
          <w:tblHeader w:val="true"/>
        </w:trPr>
        <w:tc>
          <w:tcPr>
            <w:tcW w:type="dxa" w:w="2100"/>
            <w:shd w:fill="F4F6F9"/>
            <w:vAlign w:val="center"/>
            <w:tcMar>
              <w:top w:w="80" w:type="dxa"/>
              <w:bottom w:w="80" w:type="dxa"/>
              <w:start w:w="120" w:type="dxa"/>
              <w:end w:w="120" w:type="dxa"/>
            </w:tcMar>
          </w:tcPr>
          <w:p>
            <w:pPr>
              <w:spacing w:before="0" w:after="0" w:line="276" w:lineRule="auto"/>
              <w:jc w:val="left"/>
            </w:pPr>
            <w:r/>
            <w:r>
              <w:rPr>
                <w:rFonts w:ascii="Calibri" w:hAnsi="Calibri"/>
                <w:b/>
                <w:i w:val="0"/>
                <w:color w:val="132238"/>
                <w:sz w:val="18"/>
              </w:rPr>
              <w:t>Package</w:t>
            </w:r>
          </w:p>
        </w:tc>
        <w:tc>
          <w:tcPr>
            <w:tcW w:type="dxa" w:w="2100"/>
            <w:shd w:fill="F4F6F9"/>
            <w:vAlign w:val="center"/>
            <w:tcMar>
              <w:top w:w="80" w:type="dxa"/>
              <w:bottom w:w="80" w:type="dxa"/>
              <w:start w:w="120" w:type="dxa"/>
              <w:end w:w="120" w:type="dxa"/>
            </w:tcMar>
          </w:tcPr>
          <w:p>
            <w:pPr>
              <w:spacing w:before="0" w:after="0" w:line="276" w:lineRule="auto"/>
              <w:jc w:val="left"/>
            </w:pPr>
            <w:r/>
            <w:r>
              <w:rPr>
                <w:rFonts w:ascii="Calibri" w:hAnsi="Calibri"/>
                <w:b/>
                <w:i w:val="0"/>
                <w:color w:val="132238"/>
                <w:sz w:val="18"/>
              </w:rPr>
              <w:t>Published amount</w:t>
            </w:r>
          </w:p>
        </w:tc>
        <w:tc>
          <w:tcPr>
            <w:tcW w:type="dxa" w:w="5160"/>
            <w:shd w:fill="F4F6F9"/>
            <w:vAlign w:val="center"/>
            <w:tcMar>
              <w:top w:w="80" w:type="dxa"/>
              <w:bottom w:w="80" w:type="dxa"/>
              <w:start w:w="120" w:type="dxa"/>
              <w:end w:w="120" w:type="dxa"/>
            </w:tcMar>
          </w:tcPr>
          <w:p>
            <w:pPr>
              <w:spacing w:before="0" w:after="0" w:line="276" w:lineRule="auto"/>
              <w:jc w:val="left"/>
            </w:pPr>
            <w:r/>
            <w:r>
              <w:rPr>
                <w:rFonts w:ascii="Calibri" w:hAnsi="Calibri"/>
                <w:b/>
                <w:i w:val="0"/>
                <w:color w:val="132238"/>
                <w:sz w:val="18"/>
              </w:rPr>
              <w:t>Core boundary</w:t>
            </w:r>
          </w:p>
        </w:tc>
      </w:tr>
      <w:tr>
        <w:tc>
          <w:tcPr>
            <w:tcW w:type="dxa" w:w="2100"/>
            <w:vAlign w:val="center"/>
            <w:tcMar>
              <w:top w:w="80" w:type="dxa"/>
              <w:bottom w:w="80" w:type="dxa"/>
              <w:start w:w="120" w:type="dxa"/>
              <w:end w:w="120" w:type="dxa"/>
            </w:tcMar>
          </w:tcPr>
          <w:p>
            <w:pPr>
              <w:spacing w:before="0" w:after="0" w:line="276" w:lineRule="auto"/>
              <w:jc w:val="left"/>
            </w:pPr>
            <w:r/>
            <w:r>
              <w:rPr>
                <w:rFonts w:ascii="Calibri" w:hAnsi="Calibri"/>
                <w:b w:val="0"/>
                <w:i w:val="0"/>
                <w:color w:val="132238"/>
                <w:sz w:val="18"/>
              </w:rPr>
              <w:t>Project Website</w:t>
            </w:r>
          </w:p>
        </w:tc>
        <w:tc>
          <w:tcPr>
            <w:tcW w:type="dxa" w:w="2100"/>
            <w:vAlign w:val="center"/>
            <w:tcMar>
              <w:top w:w="80" w:type="dxa"/>
              <w:bottom w:w="80" w:type="dxa"/>
              <w:start w:w="120" w:type="dxa"/>
              <w:end w:w="120" w:type="dxa"/>
            </w:tcMar>
          </w:tcPr>
          <w:p>
            <w:pPr>
              <w:spacing w:before="0" w:after="0" w:line="276" w:lineRule="auto"/>
              <w:jc w:val="left"/>
            </w:pPr>
            <w:r/>
            <w:r>
              <w:rPr>
                <w:rFonts w:ascii="Calibri" w:hAnsi="Calibri"/>
                <w:b w:val="0"/>
                <w:i w:val="0"/>
                <w:color w:val="132238"/>
                <w:sz w:val="18"/>
              </w:rPr>
              <w:t>EUR 1,500 / 2,500 / 3,500</w:t>
            </w:r>
          </w:p>
        </w:tc>
        <w:tc>
          <w:tcPr>
            <w:tcW w:type="dxa" w:w="5160"/>
            <w:vAlign w:val="center"/>
            <w:tcMar>
              <w:top w:w="80" w:type="dxa"/>
              <w:bottom w:w="80" w:type="dxa"/>
              <w:start w:w="120" w:type="dxa"/>
              <w:end w:w="120" w:type="dxa"/>
            </w:tcMar>
          </w:tcPr>
          <w:p>
            <w:pPr>
              <w:spacing w:before="0" w:after="0" w:line="276" w:lineRule="auto"/>
              <w:jc w:val="left"/>
            </w:pPr>
            <w:r/>
            <w:r>
              <w:rPr>
                <w:rFonts w:ascii="Calibri" w:hAnsi="Calibri"/>
                <w:b w:val="0"/>
                <w:i w:val="0"/>
                <w:color w:val="132238"/>
                <w:sz w:val="18"/>
              </w:rPr>
              <w:t>Highest boundary across languages, Main Sections, Site Capabilities, and 20 / 40 / 80 Content Items</w:t>
            </w:r>
          </w:p>
        </w:tc>
      </w:tr>
      <w:tr>
        <w:tc>
          <w:tcPr>
            <w:tcW w:type="dxa" w:w="2100"/>
            <w:vAlign w:val="center"/>
            <w:tcMar>
              <w:top w:w="80" w:type="dxa"/>
              <w:bottom w:w="80" w:type="dxa"/>
              <w:start w:w="120" w:type="dxa"/>
              <w:end w:w="120" w:type="dxa"/>
            </w:tcMar>
          </w:tcPr>
          <w:p>
            <w:pPr>
              <w:spacing w:before="0" w:after="0" w:line="276" w:lineRule="auto"/>
              <w:jc w:val="left"/>
            </w:pPr>
            <w:r/>
            <w:r>
              <w:rPr>
                <w:rFonts w:ascii="Calibri" w:hAnsi="Calibri"/>
                <w:b w:val="0"/>
                <w:i w:val="0"/>
                <w:color w:val="132238"/>
                <w:sz w:val="18"/>
              </w:rPr>
              <w:t>Learning Platform</w:t>
            </w:r>
          </w:p>
        </w:tc>
        <w:tc>
          <w:tcPr>
            <w:tcW w:type="dxa" w:w="2100"/>
            <w:vAlign w:val="center"/>
            <w:tcMar>
              <w:top w:w="80" w:type="dxa"/>
              <w:bottom w:w="80" w:type="dxa"/>
              <w:start w:w="120" w:type="dxa"/>
              <w:end w:w="120" w:type="dxa"/>
            </w:tcMar>
          </w:tcPr>
          <w:p>
            <w:pPr>
              <w:spacing w:before="0" w:after="0" w:line="276" w:lineRule="auto"/>
              <w:jc w:val="left"/>
            </w:pPr>
            <w:r/>
            <w:r>
              <w:rPr>
                <w:rFonts w:ascii="Calibri" w:hAnsi="Calibri"/>
                <w:b w:val="0"/>
                <w:i w:val="0"/>
                <w:color w:val="132238"/>
                <w:sz w:val="18"/>
              </w:rPr>
              <w:t>EUR 5,000 / 9,000</w:t>
            </w:r>
          </w:p>
        </w:tc>
        <w:tc>
          <w:tcPr>
            <w:tcW w:type="dxa" w:w="5160"/>
            <w:vAlign w:val="center"/>
            <w:tcMar>
              <w:top w:w="80" w:type="dxa"/>
              <w:bottom w:w="80" w:type="dxa"/>
              <w:start w:w="120" w:type="dxa"/>
              <w:end w:w="120" w:type="dxa"/>
            </w:tcMar>
          </w:tcPr>
          <w:p>
            <w:pPr>
              <w:spacing w:before="0" w:after="0" w:line="276" w:lineRule="auto"/>
              <w:jc w:val="left"/>
            </w:pPr>
            <w:r/>
            <w:r>
              <w:rPr>
                <w:rFonts w:ascii="Calibri" w:hAnsi="Calibri"/>
                <w:b w:val="0"/>
                <w:i w:val="0"/>
                <w:color w:val="132238"/>
                <w:sz w:val="18"/>
              </w:rPr>
              <w:t>Up to 3 languages and 500 participants / up to 8 languages and 3,000 participants with advanced publishing and messaging</w:t>
            </w:r>
          </w:p>
        </w:tc>
      </w:tr>
      <w:tr>
        <w:tc>
          <w:tcPr>
            <w:tcW w:type="dxa" w:w="2100"/>
            <w:vAlign w:val="center"/>
            <w:tcMar>
              <w:top w:w="80" w:type="dxa"/>
              <w:bottom w:w="80" w:type="dxa"/>
              <w:start w:w="120" w:type="dxa"/>
              <w:end w:w="120" w:type="dxa"/>
            </w:tcMar>
          </w:tcPr>
          <w:p>
            <w:pPr>
              <w:spacing w:before="0" w:after="0" w:line="276" w:lineRule="auto"/>
              <w:jc w:val="left"/>
            </w:pPr>
            <w:r/>
            <w:r>
              <w:rPr>
                <w:rFonts w:ascii="Calibri" w:hAnsi="Calibri"/>
                <w:b w:val="0"/>
                <w:i w:val="0"/>
                <w:color w:val="132238"/>
                <w:sz w:val="18"/>
              </w:rPr>
              <w:t>Assessment Tool</w:t>
            </w:r>
          </w:p>
        </w:tc>
        <w:tc>
          <w:tcPr>
            <w:tcW w:type="dxa" w:w="2100"/>
            <w:vAlign w:val="center"/>
            <w:tcMar>
              <w:top w:w="80" w:type="dxa"/>
              <w:bottom w:w="80" w:type="dxa"/>
              <w:start w:w="120" w:type="dxa"/>
              <w:end w:w="120" w:type="dxa"/>
            </w:tcMar>
          </w:tcPr>
          <w:p>
            <w:pPr>
              <w:spacing w:before="0" w:after="0" w:line="276" w:lineRule="auto"/>
              <w:jc w:val="left"/>
            </w:pPr>
            <w:r/>
            <w:r>
              <w:rPr>
                <w:rFonts w:ascii="Calibri" w:hAnsi="Calibri"/>
                <w:b w:val="0"/>
                <w:i w:val="0"/>
                <w:color w:val="132238"/>
                <w:sz w:val="18"/>
              </w:rPr>
              <w:t>EUR 3,000 / 5,000</w:t>
            </w:r>
          </w:p>
        </w:tc>
        <w:tc>
          <w:tcPr>
            <w:tcW w:type="dxa" w:w="5160"/>
            <w:vAlign w:val="center"/>
            <w:tcMar>
              <w:top w:w="80" w:type="dxa"/>
              <w:bottom w:w="80" w:type="dxa"/>
              <w:start w:w="120" w:type="dxa"/>
              <w:end w:w="120" w:type="dxa"/>
            </w:tcMar>
          </w:tcPr>
          <w:p>
            <w:pPr>
              <w:spacing w:before="0" w:after="0" w:line="276" w:lineRule="auto"/>
              <w:jc w:val="left"/>
            </w:pPr>
            <w:r/>
            <w:r>
              <w:rPr>
                <w:rFonts w:ascii="Calibri" w:hAnsi="Calibri"/>
                <w:b w:val="0"/>
                <w:i w:val="0"/>
                <w:color w:val="132238"/>
                <w:sz w:val="18"/>
              </w:rPr>
              <w:t>One single-section Assessment, 3 languages, 80 questions / up to 2 Assessments, 6 languages, 200 questions with advanced proven Result Capabilities</w:t>
            </w:r>
          </w:p>
        </w:tc>
      </w:tr>
      <w:tr>
        <w:tc>
          <w:tcPr>
            <w:tcW w:type="dxa" w:w="2100"/>
            <w:vAlign w:val="center"/>
            <w:tcMar>
              <w:top w:w="80" w:type="dxa"/>
              <w:bottom w:w="80" w:type="dxa"/>
              <w:start w:w="120" w:type="dxa"/>
              <w:end w:w="120" w:type="dxa"/>
            </w:tcMar>
          </w:tcPr>
          <w:p>
            <w:pPr>
              <w:spacing w:before="0" w:after="0" w:line="276" w:lineRule="auto"/>
              <w:jc w:val="left"/>
            </w:pPr>
            <w:r/>
            <w:r>
              <w:rPr>
                <w:rFonts w:ascii="Calibri" w:hAnsi="Calibri"/>
                <w:b w:val="0"/>
                <w:i w:val="0"/>
                <w:color w:val="132238"/>
                <w:sz w:val="18"/>
              </w:rPr>
              <w:t>Dissemination Analytics</w:t>
            </w:r>
          </w:p>
        </w:tc>
        <w:tc>
          <w:tcPr>
            <w:tcW w:type="dxa" w:w="2100"/>
            <w:vAlign w:val="center"/>
            <w:tcMar>
              <w:top w:w="80" w:type="dxa"/>
              <w:bottom w:w="80" w:type="dxa"/>
              <w:start w:w="120" w:type="dxa"/>
              <w:end w:w="120" w:type="dxa"/>
            </w:tcMar>
          </w:tcPr>
          <w:p>
            <w:pPr>
              <w:spacing w:before="0" w:after="0" w:line="276" w:lineRule="auto"/>
              <w:jc w:val="left"/>
            </w:pPr>
            <w:r/>
            <w:r>
              <w:rPr>
                <w:rFonts w:ascii="Calibri" w:hAnsi="Calibri"/>
                <w:b w:val="0"/>
                <w:i w:val="0"/>
                <w:color w:val="132238"/>
                <w:sz w:val="18"/>
              </w:rPr>
              <w:t>EUR 500</w:t>
            </w:r>
          </w:p>
        </w:tc>
        <w:tc>
          <w:tcPr>
            <w:tcW w:type="dxa" w:w="5160"/>
            <w:vAlign w:val="center"/>
            <w:tcMar>
              <w:top w:w="80" w:type="dxa"/>
              <w:bottom w:w="80" w:type="dxa"/>
              <w:start w:w="120" w:type="dxa"/>
              <w:end w:w="120" w:type="dxa"/>
            </w:tcMar>
          </w:tcPr>
          <w:p>
            <w:pPr>
              <w:spacing w:before="0" w:after="0" w:line="276" w:lineRule="auto"/>
              <w:jc w:val="left"/>
            </w:pPr>
            <w:r/>
            <w:r>
              <w:rPr>
                <w:rFonts w:ascii="Calibri" w:hAnsi="Calibri"/>
                <w:b w:val="0"/>
                <w:i w:val="0"/>
                <w:color w:val="132238"/>
                <w:sz w:val="18"/>
              </w:rPr>
              <w:t>One Project, unlimited properties, and up to 10 agreed events</w:t>
            </w:r>
          </w:p>
        </w:tc>
      </w:tr>
    </w:tbl>
    <w:p>
      <w:pPr>
        <w:spacing w:before="80" w:after="80"/>
      </w:pPr>
      <w:r>
        <w:rPr>
          <w:rFonts w:ascii="Calibri" w:hAnsi="Calibri"/>
          <w:b w:val="0"/>
          <w:i/>
          <w:color w:val="5A6470"/>
          <w:sz w:val="18"/>
        </w:rPr>
        <w:t>Source: canonical price version 2026.2. Prices exclude VAT where applicable. Selected Packages are added without an automatic bundle discount.</w:t>
      </w:r>
    </w:p>
    <w:p>
      <w:pPr>
        <w:pStyle w:val="Heading1"/>
      </w:pPr>
      <w:r>
        <w:t>Ready-to-paste subcontracting rationale</w:t>
      </w:r>
    </w:p>
    <w:p>
      <w:pPr>
        <w:spacing w:before="100" w:after="200"/>
        <w:ind w:left="360" w:right="216"/>
        <w:pBdr>
          <w:left w:val="single" w:sz="20" w:color="B7E34C"/>
        </w:pBdr>
      </w:pPr>
      <w:r>
        <w:rPr>
          <w:rFonts w:ascii="Calibri" w:hAnsi="Calibri"/>
          <w:b w:val="0"/>
          <w:i w:val="0"/>
          <w:color w:val="132238"/>
          <w:sz w:val="21"/>
        </w:rPr>
        <w:t>The consortium will subcontract bounded specialist digital implementation tasks that do not constitute core Project activities. The selected supplier provides proven, reusable technical foundations, Project-specific configuration and content preparation, and a published scope boundary. This approach avoids funding repeated greenfield development, provides a reproducible indicative price, and supports best value for money while responsibility for Project objectives, content approval, and official reporting remains with the beneficiaries.</w:t>
      </w:r>
    </w:p>
    <w:p>
      <w:pPr>
        <w:pStyle w:val="Heading1"/>
      </w:pPr>
      <w:r>
        <w:t>Project Website</w:t>
      </w:r>
    </w:p>
    <w:p>
      <w:pPr>
        <w:pStyle w:val="Heading2"/>
      </w:pPr>
      <w:r>
        <w:t>Task language</w:t>
      </w:r>
    </w:p>
    <w:p>
      <w:pPr>
        <w:spacing w:before="100" w:after="200"/>
        <w:ind w:left="360" w:right="216"/>
        <w:pBdr>
          <w:left w:val="single" w:sz="20" w:color="B7E34C"/>
        </w:pBdr>
      </w:pPr>
      <w:r>
        <w:rPr>
          <w:rFonts w:ascii="Calibri" w:hAnsi="Calibri"/>
          <w:b w:val="0"/>
          <w:i w:val="0"/>
          <w:color w:val="132238"/>
          <w:sz w:val="21"/>
        </w:rPr>
        <w:t>Configure, implement, populate, translate, test, launch, and maintain an accessible multilingual Project Website as the Project's public dissemination record. The work includes the agreed Main Sections, Site Capabilities, Content Allowance, analytics, EU acknowledgement, domain management, and five-year availability from the official Project start date.</w:t>
      </w:r>
    </w:p>
    <w:p>
      <w:pPr>
        <w:pStyle w:val="Heading2"/>
      </w:pPr>
      <w:r>
        <w:t>Deliverable language</w:t>
      </w:r>
    </w:p>
    <w:p>
      <w:pPr>
        <w:spacing w:before="100" w:after="200"/>
        <w:ind w:left="360" w:right="216"/>
        <w:pBdr>
          <w:left w:val="single" w:sz="20" w:color="B7E34C"/>
        </w:pBdr>
      </w:pPr>
      <w:r>
        <w:rPr>
          <w:rFonts w:ascii="Calibri" w:hAnsi="Calibri"/>
          <w:b w:val="0"/>
          <w:i w:val="0"/>
          <w:color w:val="132238"/>
          <w:sz w:val="21"/>
        </w:rPr>
        <w:t>D[X.Y] Multilingual Project Website: responsive public website containing the agreed Project, consortium, work-plan, output, and dissemination structures; configured in [N] languages with [N] Main Sections, [N] Site Capabilities, and a [20/40/80]-item Content Allowance.</w:t>
      </w:r>
    </w:p>
    <w:p>
      <w:pPr>
        <w:pStyle w:val="Heading2"/>
      </w:pPr>
      <w:r>
        <w:t>Budget line</w:t>
      </w:r>
    </w:p>
    <w:p>
      <w:pPr>
        <w:spacing w:before="100" w:after="200"/>
        <w:ind w:left="360" w:right="216"/>
        <w:pBdr>
          <w:left w:val="single" w:sz="20" w:color="B7E34C"/>
        </w:pBdr>
      </w:pPr>
      <w:r>
        <w:rPr>
          <w:rFonts w:ascii="Calibri" w:hAnsi="Calibri"/>
          <w:b w:val="0"/>
          <w:i w:val="0"/>
          <w:color w:val="132238"/>
          <w:sz w:val="21"/>
        </w:rPr>
        <w:t>Subcontracting - Project Website - EUR [1,500 / 2,500 / 3,500], excluding VAT where applicable. Published boundary selected by the highest of configured languages, Main Sections, Site Capabilities, and Content Allowance.</w:t>
      </w:r>
    </w:p>
    <w:p>
      <w:pPr>
        <w:pStyle w:val="ListBullet"/>
      </w:pPr>
      <w:r>
        <w:t>Standard Site Capabilities: Dissemination Hub; combined Project Structure and Outputs; newsletter subscription; Platform Deployment link or embed; contact workflow.</w:t>
      </w:r>
    </w:p>
    <w:p>
      <w:pPr>
        <w:pStyle w:val="ListBullet"/>
      </w:pPr>
      <w:r>
        <w:t>A Project may upgrade its Content Allowance by paying the difference to the next tier; more than 80 Content Items requires tailored review.</w:t>
      </w:r>
    </w:p>
    <w:p>
      <w:pPr>
        <w:pStyle w:val="Heading1"/>
      </w:pPr>
      <w:r>
        <w:t>Learning Platform</w:t>
      </w:r>
    </w:p>
    <w:p>
      <w:pPr>
        <w:pStyle w:val="Heading2"/>
      </w:pPr>
      <w:r>
        <w:t>Task language</w:t>
      </w:r>
    </w:p>
    <w:p>
      <w:pPr>
        <w:spacing w:before="100" w:after="200"/>
        <w:ind w:left="360" w:right="216"/>
        <w:pBdr>
          <w:left w:val="single" w:sz="20" w:color="B7E34C"/>
        </w:pBdr>
      </w:pPr>
      <w:r>
        <w:rPr>
          <w:rFonts w:ascii="Calibri" w:hAnsi="Calibri"/>
          <w:b w:val="0"/>
          <w:i w:val="0"/>
          <w:color w:val="132238"/>
          <w:sz w:val="21"/>
        </w:rPr>
        <w:t>Inventory the complete launch source corpus; configure, brand, structure, translate, test, and deploy the Project Learning Platform; configure participant access and the agreed publishing capabilities; and provide hosting, monitoring, maintenance, and five-year availability from the official Project start date.</w:t>
      </w:r>
    </w:p>
    <w:p>
      <w:pPr>
        <w:pStyle w:val="Heading2"/>
      </w:pPr>
      <w:r>
        <w:t>Deliverable language</w:t>
      </w:r>
    </w:p>
    <w:p>
      <w:pPr>
        <w:spacing w:before="100" w:after="200"/>
        <w:ind w:left="360" w:right="216"/>
        <w:pBdr>
          <w:left w:val="single" w:sz="20" w:color="B7E34C"/>
        </w:pBdr>
      </w:pPr>
      <w:r>
        <w:rPr>
          <w:rFonts w:ascii="Calibri" w:hAnsi="Calibri"/>
          <w:b w:val="0"/>
          <w:i w:val="0"/>
          <w:color w:val="132238"/>
          <w:sz w:val="21"/>
        </w:rPr>
        <w:t>D[X.Y] Project Learning Platform: Project-branded multilingual Platform Deployment prepared from the complete source corpus inventoried before delivery scheduling, with authentication, participant profiles, and the agreed participant and publishing boundary.</w:t>
      </w:r>
    </w:p>
    <w:p>
      <w:pPr>
        <w:pStyle w:val="Heading2"/>
      </w:pPr>
      <w:r>
        <w:t>Budget line</w:t>
      </w:r>
    </w:p>
    <w:p>
      <w:pPr>
        <w:spacing w:before="100" w:after="200"/>
        <w:ind w:left="360" w:right="216"/>
        <w:pBdr>
          <w:left w:val="single" w:sz="20" w:color="B7E34C"/>
        </w:pBdr>
      </w:pPr>
      <w:r>
        <w:rPr>
          <w:rFonts w:ascii="Calibri" w:hAnsi="Calibri"/>
          <w:b w:val="0"/>
          <w:i w:val="0"/>
          <w:color w:val="132238"/>
          <w:sz w:val="21"/>
        </w:rPr>
        <w:t>Subcontracting - Learning Platform - EUR [5,000 / 9,000], excluding VAT where applicable, for up to [3/8] languages and [500/3,000] registered participants.</w:t>
      </w:r>
    </w:p>
    <w:p>
      <w:pPr>
        <w:pStyle w:val="ListBullet"/>
      </w:pPr>
      <w:r>
        <w:t>The complete inventoried Launch Corpus has no page limit.</w:t>
      </w:r>
    </w:p>
    <w:p>
      <w:pPr>
        <w:pStyle w:val="ListBullet"/>
      </w:pPr>
      <w:r>
        <w:t>The EUR 9,000 boundary adds messaging, participant article publishing, and file publishing and downloads.</w:t>
      </w:r>
    </w:p>
    <w:p>
      <w:pPr>
        <w:pStyle w:val="Heading1"/>
      </w:pPr>
      <w:r>
        <w:t>Assessment Tool</w:t>
      </w:r>
    </w:p>
    <w:p>
      <w:pPr>
        <w:pStyle w:val="Heading2"/>
      </w:pPr>
      <w:r>
        <w:t>Task language</w:t>
      </w:r>
    </w:p>
    <w:p>
      <w:pPr>
        <w:spacing w:before="100" w:after="200"/>
        <w:ind w:left="360" w:right="216"/>
        <w:pBdr>
          <w:left w:val="single" w:sz="20" w:color="B7E34C"/>
        </w:pBdr>
      </w:pPr>
      <w:r>
        <w:rPr>
          <w:rFonts w:ascii="Calibri" w:hAnsi="Calibri"/>
          <w:b w:val="0"/>
          <w:i w:val="0"/>
          <w:color w:val="132238"/>
          <w:sz w:val="21"/>
        </w:rPr>
        <w:t>Confirm the Assessment structure and result model; configure and translate the agreed Standard Questions; implement theming, scoring, results, administration, and the selected proven Result Capabilities; test and deploy the Assessment Tool; and provide hosting, monitoring, maintenance, and five-year availability from the official Project start date.</w:t>
      </w:r>
    </w:p>
    <w:p>
      <w:pPr>
        <w:pStyle w:val="Heading2"/>
      </w:pPr>
      <w:r>
        <w:t>Deliverable language</w:t>
      </w:r>
    </w:p>
    <w:p>
      <w:pPr>
        <w:spacing w:before="100" w:after="200"/>
        <w:ind w:left="360" w:right="216"/>
        <w:pBdr>
          <w:left w:val="single" w:sz="20" w:color="B7E34C"/>
        </w:pBdr>
      </w:pPr>
      <w:r>
        <w:rPr>
          <w:rFonts w:ascii="Calibri" w:hAnsi="Calibri"/>
          <w:b w:val="0"/>
          <w:i w:val="0"/>
          <w:color w:val="132238"/>
          <w:sz w:val="21"/>
        </w:rPr>
        <w:t>D[X.Y] Project Assessment Tool: [one/up to two] Assessment[s] with [single/multiple] Assessment Sections, up to [3/6] languages and [80/200] questions, including the agreed scoring, result, administration, export, profile, and embedding capabilities.</w:t>
      </w:r>
    </w:p>
    <w:p>
      <w:pPr>
        <w:pStyle w:val="Heading2"/>
      </w:pPr>
      <w:r>
        <w:t>Budget line</w:t>
      </w:r>
    </w:p>
    <w:p>
      <w:pPr>
        <w:spacing w:before="100" w:after="200"/>
        <w:ind w:left="360" w:right="216"/>
        <w:pBdr>
          <w:left w:val="single" w:sz="20" w:color="B7E34C"/>
        </w:pBdr>
      </w:pPr>
      <w:r>
        <w:rPr>
          <w:rFonts w:ascii="Calibri" w:hAnsi="Calibri"/>
          <w:b w:val="0"/>
          <w:i w:val="0"/>
          <w:color w:val="132238"/>
          <w:sz w:val="21"/>
        </w:rPr>
        <w:t>Subcontracting - Assessment Tool - EUR [3,000 / 5,000], excluding VAT where applicable. Assessment submissions carry no per-response fee under Fair Use.</w:t>
      </w:r>
    </w:p>
    <w:p>
      <w:pPr>
        <w:pStyle w:val="ListBullet"/>
      </w:pPr>
      <w:r>
        <w:t>The EUR 3,000 scope covers one single-section Assessment, up to three languages and 80 questions.</w:t>
      </w:r>
    </w:p>
    <w:p>
      <w:pPr>
        <w:pStyle w:val="ListBullet"/>
      </w:pPr>
      <w:r>
        <w:t>The EUR 5,000 scope covers up to two Assessments, six languages and 200 questions, and adds multiple sections and the full proven Result Capabilities.</w:t>
      </w:r>
    </w:p>
    <w:p>
      <w:pPr>
        <w:pStyle w:val="Heading1"/>
      </w:pPr>
      <w:r>
        <w:t>Dissemination Analytics</w:t>
      </w:r>
    </w:p>
    <w:p>
      <w:pPr>
        <w:pStyle w:val="Heading2"/>
      </w:pPr>
      <w:r>
        <w:t>Task language</w:t>
      </w:r>
    </w:p>
    <w:p>
      <w:pPr>
        <w:spacing w:before="100" w:after="200"/>
        <w:ind w:left="360" w:right="216"/>
        <w:pBdr>
          <w:left w:val="single" w:sz="20" w:color="B7E34C"/>
        </w:pBdr>
      </w:pPr>
      <w:r>
        <w:rPr>
          <w:rFonts w:ascii="Calibri" w:hAnsi="Calibri"/>
          <w:b w:val="0"/>
          <w:i w:val="0"/>
          <w:color w:val="132238"/>
          <w:sz w:val="21"/>
        </w:rPr>
        <w:t>Configure and operate privacy-conscious dissemination analytics across the Project's agreed public websites and Platform Deployments, including up to ten agreed events, consolidated views, automated summaries, and report-ready exports for five years.</w:t>
      </w:r>
    </w:p>
    <w:p>
      <w:pPr>
        <w:pStyle w:val="Heading2"/>
      </w:pPr>
      <w:r>
        <w:t>Deliverable language</w:t>
      </w:r>
    </w:p>
    <w:p>
      <w:pPr>
        <w:spacing w:before="100" w:after="200"/>
        <w:ind w:left="360" w:right="216"/>
        <w:pBdr>
          <w:left w:val="single" w:sz="20" w:color="B7E34C"/>
        </w:pBdr>
      </w:pPr>
      <w:r>
        <w:rPr>
          <w:rFonts w:ascii="Calibri" w:hAnsi="Calibri"/>
          <w:b w:val="0"/>
          <w:i w:val="0"/>
          <w:color w:val="132238"/>
          <w:sz w:val="21"/>
        </w:rPr>
        <w:t>D[X.Y] Dissemination Analytics: one Project, unlimited Project Websites and Platform Deployments, up to ten agreed events, automated summaries, consolidated views, and report-ready exports for five years.</w:t>
      </w:r>
    </w:p>
    <w:p>
      <w:pPr>
        <w:pStyle w:val="Heading2"/>
      </w:pPr>
      <w:r>
        <w:t>Budget line</w:t>
      </w:r>
    </w:p>
    <w:p>
      <w:pPr>
        <w:spacing w:before="100" w:after="200"/>
        <w:ind w:left="360" w:right="216"/>
        <w:pBdr>
          <w:left w:val="single" w:sz="20" w:color="B7E34C"/>
        </w:pBdr>
      </w:pPr>
      <w:r>
        <w:rPr>
          <w:rFonts w:ascii="Calibri" w:hAnsi="Calibri"/>
          <w:b w:val="0"/>
          <w:i w:val="0"/>
          <w:color w:val="132238"/>
          <w:sz w:val="21"/>
        </w:rPr>
        <w:t>Subcontracting - Dissemination Analytics - EUR 500, excluding VAT where applicable.</w:t>
      </w:r>
    </w:p>
    <w:p>
      <w:pPr>
        <w:pStyle w:val="ListBullet"/>
      </w:pPr>
      <w:r>
        <w:t>More than ten agreed events or bespoke reporting requires tailored review.</w:t>
      </w:r>
    </w:p>
    <w:p>
      <w:pPr>
        <w:pStyle w:val="ListBullet"/>
      </w:pPr>
      <w:r>
        <w:t>Official Project report writing is excluded.</w:t>
      </w:r>
    </w:p>
    <w:p>
      <w:pPr>
        <w:pStyle w:val="Heading1"/>
      </w:pPr>
      <w:r>
        <w:t>Common assumptions</w:t>
      </w:r>
    </w:p>
    <w:p>
      <w:pPr>
        <w:pStyle w:val="ListBullet"/>
      </w:pPr>
      <w:r>
        <w:t>The Coordinator supplies approved source-language copy, files, brand assets, EU acknowledgement wording, and authorised personal data in the agreed structure.</w:t>
      </w:r>
    </w:p>
    <w:p>
      <w:pPr>
        <w:pStyle w:val="ListBullet"/>
      </w:pPr>
      <w:r>
        <w:t>Initial Translations are machine-assisted working translations with basic checks. The relevant partner approves terminology and meaning.</w:t>
      </w:r>
    </w:p>
    <w:p>
      <w:pPr>
        <w:pStyle w:val="ListBullet"/>
      </w:pPr>
      <w:r>
        <w:t>Genuine Translation Corrections may be supplied throughout the included five-year term and are scheduled within ten Greek business days.</w:t>
      </w:r>
    </w:p>
    <w:p>
      <w:pPr>
        <w:pStyle w:val="ListBullet"/>
      </w:pPr>
      <w:r>
        <w:t>The five-year term is provisional from the planned Project start before award and is recalculated from the Grant Agreement date after award.</w:t>
      </w:r>
    </w:p>
    <w:p>
      <w:pPr>
        <w:pStyle w:val="ListBullet"/>
      </w:pPr>
      <w:r>
        <w:t>One available, non-premium Project Domain costing no more than EUR 30 annually when selected, plus required subdomains, is included where applicable.</w:t>
      </w:r>
    </w:p>
    <w:p>
      <w:pPr>
        <w:pStyle w:val="ListBullet"/>
      </w:pPr>
      <w:r>
        <w:t>Generated prices are valid for 18 months for the same proposed Project.</w:t>
      </w:r>
    </w:p>
    <w:p>
      <w:pPr>
        <w:pStyle w:val="Heading1"/>
      </w:pPr>
      <w:r>
        <w:t>Service promise</w:t>
      </w:r>
    </w:p>
    <w:p>
      <w:r>
        <w:t>Applicable deliveries include hosting, monitoring, maintenance, and reasonable-efforts restoration for five years from the official Project start date. Greek business days and Europe/Athens support hours apply.</w:t>
      </w:r>
    </w:p>
    <w:p>
      <w:pPr>
        <w:pStyle w:val="ListBullet"/>
      </w:pPr>
      <w:r>
        <w:t>Critical Outage acknowledgement within one business day.</w:t>
      </w:r>
    </w:p>
    <w:p>
      <w:pPr>
        <w:pStyle w:val="ListBullet"/>
      </w:pPr>
      <w:r>
        <w:t>Serious degradation acknowledgement within two business days.</w:t>
      </w:r>
    </w:p>
    <w:p>
      <w:pPr>
        <w:pStyle w:val="ListBullet"/>
      </w:pPr>
      <w:r>
        <w:t>Routine maintenance, managed Content Items, and Translation Corrections scheduled within ten business days.</w:t>
      </w:r>
    </w:p>
    <w:p>
      <w:pPr>
        <w:pStyle w:val="Heading1"/>
      </w:pPr>
      <w:r>
        <w:t>Exclusions and tailored review</w:t>
      </w:r>
    </w:p>
    <w:p>
      <w:r>
        <w:t>Bespoke features, professional or certified translation, psychometric design, new scoring algorithms, official report writing, regulated-data requirements, unusual high-volume Assessment use, source material added after the agreed Launch Corpus, and scope beyond published limits require tailored review.</w:t>
      </w:r>
    </w:p>
    <w:p>
      <w:r>
        <w:t>The availability commitment excludes announced maintenance, uncontrollable provider incidents, malicious attacks, Coordinator-caused changes, legal suspension, and force majeure. It is a reasonable-efforts service promise, not a numerical uptime guarantee.</w:t>
      </w:r>
    </w:p>
    <w:p>
      <w:pPr>
        <w:pStyle w:val="Heading1"/>
      </w:pPr>
      <w:r>
        <w:t>Coordinator review checklist</w:t>
      </w:r>
    </w:p>
    <w:p>
      <w:pPr>
        <w:pStyle w:val="ListBullet"/>
      </w:pPr>
      <w:r>
        <w:t>Package and published boundary match the planned Project scope.</w:t>
      </w:r>
    </w:p>
    <w:p>
      <w:pPr>
        <w:pStyle w:val="ListBullet"/>
      </w:pPr>
      <w:r>
        <w:t>The subcontracted tasks are non-core and described in the application.</w:t>
      </w:r>
    </w:p>
    <w:p>
      <w:pPr>
        <w:pStyle w:val="ListBullet"/>
      </w:pPr>
      <w:r>
        <w:t>The consortium has assigned source-copy and translation-approval responsibilities.</w:t>
      </w:r>
    </w:p>
    <w:p>
      <w:pPr>
        <w:pStyle w:val="ListBullet"/>
      </w:pPr>
      <w:r>
        <w:t>The planned Project start and provisional service end date are recorded.</w:t>
      </w:r>
    </w:p>
    <w:p>
      <w:pPr>
        <w:pStyle w:val="ListBullet"/>
      </w:pPr>
      <w:r>
        <w:t>Tailored requirements are identified rather than assumed to be included.</w:t>
      </w:r>
    </w:p>
    <w:p>
      <w:pPr>
        <w:pStyle w:val="ListBullet"/>
      </w:pPr>
      <w:r>
        <w:t>VAT treatment has been confirmed for the relevant contracting parties.</w:t>
      </w:r>
    </w:p>
    <w:sectPr>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right"/>
    </w:pPr>
    <w:r>
      <w:rPr>
        <w:rFonts w:ascii="Calibri" w:hAnsi="Calibri"/>
        <w:b w:val="0"/>
        <w:i w:val="0"/>
        <w:color w:val="5A6470"/>
        <w:sz w:val="16"/>
      </w:rPr>
      <w:t xml:space="preserve">Version 2026.2  |  Page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Calibri" w:hAnsi="Calibri"/>
        <w:b/>
        <w:i w:val="0"/>
        <w:color w:val="5A6470"/>
        <w:sz w:val="16"/>
      </w:rPr>
      <w:t>ZAGOR SOLUTIONS  |  PROPOSAL PACK</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60" w:line="320" w:lineRule="auto"/>
      <w:jc w:val="both"/>
    </w:pPr>
    <w:rPr>
      <w:rFonts w:ascii="Calibri" w:hAnsi="Calibri"/>
      <w:color w:val="132238"/>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Calibri" w:hAnsi="Calibri"/>
      <w:b/>
      <w:bCs/>
      <w:color w:val="2B59D9"/>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2B59D9"/>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3223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90" w:lineRule="auto"/>
      <w:ind w:left="540" w:hanging="279"/>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290" w:lineRule="auto"/>
      <w:ind w:left="540" w:hanging="279"/>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Zagor Solutions Proposal Pack</dc:title>
  <dc:subject>Grant-ready digital Packages for Erasmus+ applications</dc:subject>
  <dc:creator/>
  <cp:keywords>Erasmus+, subcontracting, Project Website, Learning Platform, Assessment Tool, dissemination analytics</cp:keywords>
  <dc:description>generated by python-docx</dc:description>
  <cp:lastModifiedBy/>
  <cp:revision>1</cp:revision>
  <dcterms:created xsi:type="dcterms:W3CDTF">2013-12-23T23:15:00Z</dcterms:created>
  <dcterms:modified xsi:type="dcterms:W3CDTF">2013-12-23T23:15:00Z</dcterms:modified>
  <cp:category/>
</cp:coreProperties>
</file>